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11" w:rsidRPr="00C5767E" w:rsidRDefault="00741811" w:rsidP="00741811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IV</w:t>
      </w:r>
    </w:p>
    <w:p w:rsidR="00741811" w:rsidRPr="00C5767E" w:rsidRDefault="00741811" w:rsidP="00741811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741811" w:rsidRPr="00C5767E" w:rsidRDefault="00741811" w:rsidP="00741811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LÍNEAS DIRECTRICES</w:t>
      </w:r>
    </w:p>
    <w:p w:rsidR="00741811" w:rsidRPr="00C5767E" w:rsidRDefault="00741811" w:rsidP="00741811">
      <w:pPr>
        <w:spacing w:after="0"/>
        <w:jc w:val="both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1. Consolidación de las competencias clave del alumnado como referente del currículo.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2. Desarrollo de procedimientos y procesos objetivos de evaluación educativa, especialmente en las competencias clave, mediante la innovación y la investigación.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3. Consolidación y ampliación en el manejo y uso de aplicaciones didácticas y de gestión educativa de las Tecnologías Educativas para la mejora de la metodología y el aprovechamiento en el aula.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4. Perfeccionamiento de la competencia idiomática y metodologías específicas para la enseñanza y aprendizaje de las lenguas en entornos bilingües de gestión educativa de las Tecnologías de la Información y de la Comunicación para la mejora de la metodología y el aprovechamiento en el aula.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5. Dimensión europea e internacionalización de la educación en Extremadura: formación en las nuevas líneas de los programas europeos de aprendizaje permanente y su potencial para compartir experiencias y conocimiento.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6. Actualización didáctica en Formación Profesional y enseñanzas de adultos o a distancia que posibiliten el aprendizaje a lo largo de la vida, con especial atención a facilitar el acceso al empleo y a una vida activa plena.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7. Atención a la diversidad y acción tutorial orientadas a la mejora del éxito escolar del alumnado y a su orientación académica y profesional, como medidas preventivas del abandono escolar prematuro.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8. Planificación y desarrollo de buenas prácticas en educación en valores, convivencia, tolerancia y solidaridad orientada a la formación de una ciudadanía democrática.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9. Investigación e innovación educativa para el desarrollo de nuevas metodologías de enseñanza fomentando el propio centro educativo como marco y la aplicación al aula.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10. Desarrollo e implementación de redes de innovación educativa, de apoyo social o de programas educativos de cultura en hábitos saludables, sostenibilidad o emprendimiento que posibiliten una ciudadanía activa y transformadora.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11. Planificación del fomento de la lectura, formación en la dinamización de las bibliotecas escolares y gestión y uso inteligente de la información.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12. Formación de equipos directivos, inspección y otros colectivos específicos en gestión de calidad, habilidades comunicativas y modelos de liderazgo pedagógico.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 xml:space="preserve">13. Atención a un adecuado desarrollo de las enseñanzas especiales artísticas o deportivas. 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14. Desarrollo de actuaciones formativas que fomenten el contacto con las familias para el desarrollo de programas de mejora.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15. Desarrollo e implementación de actuaciones y programas de cultura emprendedora para impulsar las habilidades emprendedoras y fomentar el emprendimiento en la sociedad extremeña desde la educación.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16. Implementación de técnicas basadas en la oratoria y comunicación oral en el aula.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17. Formación en temas de igualdad y coeducación.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18. Desarrollo de temáticas relacionadas con la educación emocional, neurociencia y neuroeducación.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>19. Aspectos relacionados con los Objetivos de Desarrollo Sostenible (ODS).</w:t>
      </w:r>
    </w:p>
    <w:p w:rsidR="009E69E0" w:rsidRDefault="009E69E0" w:rsidP="009E69E0">
      <w:pPr>
        <w:pStyle w:val="western"/>
        <w:spacing w:after="159" w:line="247" w:lineRule="auto"/>
        <w:jc w:val="both"/>
      </w:pPr>
      <w:r>
        <w:rPr>
          <w:rFonts w:ascii="Gill Sans MT" w:hAnsi="Gill Sans MT"/>
          <w:color w:val="000000"/>
          <w:sz w:val="22"/>
          <w:szCs w:val="22"/>
        </w:rPr>
        <w:t xml:space="preserve">20. Derivada de la situación excepcional provocada por el COVID-19, se valorarán actuaciones formativas que desarrollen e incentiven las Buenas Prácticas organizativas de centro relacionadas con la enseñanza no presencial. </w:t>
      </w:r>
    </w:p>
    <w:p w:rsidR="00A41A1B" w:rsidRDefault="00A41A1B"/>
    <w:sectPr w:rsidR="00A41A1B" w:rsidSect="00317AA0">
      <w:footerReference w:type="default" r:id="rId6"/>
      <w:footerReference w:type="first" r:id="rId7"/>
      <w:pgSz w:w="11906" w:h="16838"/>
      <w:pgMar w:top="1418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1D" w:rsidRDefault="00AC0D93">
      <w:pPr>
        <w:spacing w:after="0" w:line="240" w:lineRule="auto"/>
      </w:pPr>
      <w:r>
        <w:separator/>
      </w:r>
    </w:p>
  </w:endnote>
  <w:endnote w:type="continuationSeparator" w:id="0">
    <w:p w:rsidR="005C001D" w:rsidRDefault="00AC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29" w:rsidRDefault="0074181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9E69E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29" w:rsidRDefault="009E69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1D" w:rsidRDefault="00AC0D93">
      <w:pPr>
        <w:spacing w:after="0" w:line="240" w:lineRule="auto"/>
      </w:pPr>
      <w:r>
        <w:separator/>
      </w:r>
    </w:p>
  </w:footnote>
  <w:footnote w:type="continuationSeparator" w:id="0">
    <w:p w:rsidR="005C001D" w:rsidRDefault="00AC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811"/>
    <w:rsid w:val="005C001D"/>
    <w:rsid w:val="00741811"/>
    <w:rsid w:val="009E69E0"/>
    <w:rsid w:val="00A41A1B"/>
    <w:rsid w:val="00AC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CA858-9E60-4C87-85FC-8E882C38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741811"/>
  </w:style>
  <w:style w:type="paragraph" w:styleId="Piedepgina">
    <w:name w:val="footer"/>
    <w:basedOn w:val="Normal"/>
    <w:link w:val="PiedepginaCar"/>
    <w:rsid w:val="00741811"/>
    <w:pPr>
      <w:tabs>
        <w:tab w:val="center" w:pos="4252"/>
        <w:tab w:val="right" w:pos="8504"/>
      </w:tabs>
      <w:spacing w:line="100" w:lineRule="atLeast"/>
    </w:pPr>
  </w:style>
  <w:style w:type="character" w:customStyle="1" w:styleId="PiedepginaCar">
    <w:name w:val="Pie de página Car"/>
    <w:basedOn w:val="Fuentedeprrafopredeter"/>
    <w:link w:val="Piedepgina"/>
    <w:rsid w:val="00741811"/>
    <w:rPr>
      <w:rFonts w:ascii="Trebuchet MS" w:eastAsia="Trebuchet MS" w:hAnsi="Trebuchet MS" w:cs="Calibri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D93"/>
    <w:rPr>
      <w:rFonts w:ascii="Segoe UI" w:eastAsia="Trebuchet MS" w:hAnsi="Segoe UI" w:cs="Segoe UI"/>
      <w:color w:val="00000A"/>
      <w:kern w:val="1"/>
      <w:sz w:val="18"/>
      <w:szCs w:val="18"/>
    </w:rPr>
  </w:style>
  <w:style w:type="paragraph" w:customStyle="1" w:styleId="western">
    <w:name w:val="western"/>
    <w:basedOn w:val="Normal"/>
    <w:rsid w:val="009E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3</cp:revision>
  <cp:lastPrinted>2019-06-14T11:51:00Z</cp:lastPrinted>
  <dcterms:created xsi:type="dcterms:W3CDTF">2018-06-28T10:30:00Z</dcterms:created>
  <dcterms:modified xsi:type="dcterms:W3CDTF">2020-07-06T10:35:00Z</dcterms:modified>
</cp:coreProperties>
</file>